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EC" w:rsidRPr="008F5EBE" w:rsidRDefault="00FD08EC" w:rsidP="00FD08EC">
      <w:pPr>
        <w:pBdr>
          <w:top w:val="single" w:sz="4" w:space="0" w:color="auto"/>
          <w:left w:val="single" w:sz="4" w:space="4" w:color="auto"/>
          <w:bottom w:val="single" w:sz="4" w:space="1" w:color="auto"/>
          <w:right w:val="single" w:sz="4" w:space="4" w:color="auto"/>
        </w:pBdr>
        <w:shd w:val="clear" w:color="auto" w:fill="EEECE1" w:themeFill="background2"/>
        <w:jc w:val="center"/>
        <w:rPr>
          <w:b/>
          <w:sz w:val="36"/>
        </w:rPr>
      </w:pPr>
      <w:r w:rsidRPr="008F5EBE">
        <w:rPr>
          <w:b/>
          <w:sz w:val="36"/>
        </w:rPr>
        <w:t>Programme départemental de prévention de la perte d’autonomie 2017/2021</w:t>
      </w:r>
    </w:p>
    <w:p w:rsidR="00E27260" w:rsidRDefault="00E27260"/>
    <w:p w:rsidR="000A4FFE" w:rsidRDefault="000A4FFE" w:rsidP="000A4FFE">
      <w:pPr>
        <w:jc w:val="both"/>
      </w:pPr>
      <w:r>
        <w:t>La loi relative à l’adaptation de la société au vieillissement du 28 décembre 2015, dite loi ASV, est une réponse à l’évolution démographique que vit notre pays. Le point central du titre premier de la loi « Anticipation de la perte d’autonomie » est la création de la Conférence des financeurs de la prévention de la perte d’autonomie dans chaque Département. Le but de cette conférence est de mettre autour de la même table l’ensemble des institutions qui financent des actions de prévention pour qu’elles coordonnent leurs actions et leurs financements dans le cadre d’un programme départemental de prévention.</w:t>
      </w:r>
    </w:p>
    <w:p w:rsidR="000A4FFE" w:rsidRDefault="000A4FFE" w:rsidP="000A4FFE">
      <w:pPr>
        <w:jc w:val="both"/>
      </w:pPr>
      <w:r>
        <w:t xml:space="preserve"> Elle fédère les acteurs du secteur sur des actions et des stratégies partagées au service de la construction de réponses plus lisibles et cohérentes pour les personnes âgées et porte notamment sur :</w:t>
      </w:r>
    </w:p>
    <w:p w:rsidR="000A4FFE" w:rsidRDefault="000A4FFE" w:rsidP="000A4FFE">
      <w:pPr>
        <w:pStyle w:val="Paragraphedeliste"/>
        <w:numPr>
          <w:ilvl w:val="0"/>
          <w:numId w:val="9"/>
        </w:numPr>
        <w:jc w:val="both"/>
      </w:pPr>
      <w:r>
        <w:t xml:space="preserve">L’amélioration de l’accès aux équipements et aux aides techniques individuelles, </w:t>
      </w:r>
    </w:p>
    <w:p w:rsidR="000A4FFE" w:rsidRDefault="000A4FFE" w:rsidP="000A4FFE">
      <w:pPr>
        <w:pStyle w:val="Paragraphedeliste"/>
        <w:numPr>
          <w:ilvl w:val="0"/>
          <w:numId w:val="9"/>
        </w:numPr>
        <w:jc w:val="both"/>
      </w:pPr>
      <w:r>
        <w:t>L</w:t>
      </w:r>
      <w:r w:rsidRPr="000A4FFE">
        <w:t>’attribution d’un forfait autonomie attribué via un contrat pluriannuel d’objectifs et de moyens (CPOM) par le conseil départemental aux résidences autonomie (nouvelle dénomination foyers logements),</w:t>
      </w:r>
    </w:p>
    <w:p w:rsidR="000A4FFE" w:rsidRDefault="000A4FFE" w:rsidP="000A4FFE">
      <w:pPr>
        <w:pStyle w:val="Paragraphedeliste"/>
        <w:numPr>
          <w:ilvl w:val="0"/>
          <w:numId w:val="9"/>
        </w:numPr>
        <w:jc w:val="both"/>
      </w:pPr>
      <w:r>
        <w:t xml:space="preserve">La coordination et l’appui des actions de prévention mises en œuvre par les SAAD, </w:t>
      </w:r>
    </w:p>
    <w:p w:rsidR="000A4FFE" w:rsidRDefault="000A4FFE" w:rsidP="000A4FFE">
      <w:pPr>
        <w:pStyle w:val="Paragraphedeliste"/>
        <w:numPr>
          <w:ilvl w:val="0"/>
          <w:numId w:val="9"/>
        </w:numPr>
        <w:jc w:val="both"/>
      </w:pPr>
      <w:r>
        <w:t xml:space="preserve">La coordination et l’appui des actions de prévention mises en œuvre par les SPASAD, </w:t>
      </w:r>
    </w:p>
    <w:p w:rsidR="000A4FFE" w:rsidRDefault="000A4FFE" w:rsidP="000A4FFE">
      <w:pPr>
        <w:pStyle w:val="Paragraphedeliste"/>
        <w:numPr>
          <w:ilvl w:val="0"/>
          <w:numId w:val="9"/>
        </w:numPr>
        <w:jc w:val="both"/>
      </w:pPr>
      <w:r>
        <w:t xml:space="preserve">Le développement d’autres actions collectives de prévention. </w:t>
      </w:r>
    </w:p>
    <w:p w:rsidR="000A4FFE" w:rsidRDefault="000A4FFE" w:rsidP="000A4FFE">
      <w:pPr>
        <w:jc w:val="both"/>
      </w:pPr>
      <w:r>
        <w:t>À cet effet, un diagnostic des besoins des personnes âgées de 60 ans et plus résidant sur le territoire départemental ainsi qu’un recensement des initiatives locales ont été établis. Ils ont donné lieu au programme départemental de prévention de l’autonomie ci-dessous  dont les axes fondent le lancement de l’appel à projets du Département  des Ardennes. L’objet de cet appel à projets est de faire émerger et de soutenir des projets de prévention de la perte d’autonomie  permettant de diversifier les modalités de réponses aux besoins repérés.</w:t>
      </w:r>
    </w:p>
    <w:p w:rsidR="000A4FFE" w:rsidRPr="000A4FFE" w:rsidRDefault="000A4FFE" w:rsidP="000A4FFE">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sidRPr="000A4FFE">
        <w:rPr>
          <w:b/>
        </w:rPr>
        <w:t xml:space="preserve">Si nécessaire, </w:t>
      </w:r>
      <w:r>
        <w:rPr>
          <w:b/>
        </w:rPr>
        <w:t>l</w:t>
      </w:r>
      <w:r w:rsidRPr="000A4FFE">
        <w:rPr>
          <w:b/>
        </w:rPr>
        <w:t>a conférence des financeurs se réserve le droit d’amender le programme présenté ci-dessous par avenant.</w:t>
      </w:r>
    </w:p>
    <w:p w:rsidR="000A4FFE" w:rsidRDefault="000A4FFE" w:rsidP="000A4FFE"/>
    <w:p w:rsidR="000A4FFE" w:rsidRDefault="000A4FFE" w:rsidP="000A4FFE"/>
    <w:p w:rsidR="000A4FFE" w:rsidRDefault="000A4FFE" w:rsidP="000A4FFE"/>
    <w:tbl>
      <w:tblPr>
        <w:tblStyle w:val="Grilledutableau"/>
        <w:tblW w:w="14318" w:type="dxa"/>
        <w:tblInd w:w="250" w:type="dxa"/>
        <w:tblLook w:val="04A0"/>
      </w:tblPr>
      <w:tblGrid>
        <w:gridCol w:w="1986"/>
        <w:gridCol w:w="12332"/>
      </w:tblGrid>
      <w:tr w:rsidR="00E27260" w:rsidRPr="000A4FFE" w:rsidTr="00F11F99">
        <w:tc>
          <w:tcPr>
            <w:tcW w:w="14318" w:type="dxa"/>
            <w:gridSpan w:val="2"/>
            <w:shd w:val="clear" w:color="auto" w:fill="9BBB59" w:themeFill="accent3"/>
          </w:tcPr>
          <w:p w:rsidR="00E27260" w:rsidRPr="000A4FFE" w:rsidRDefault="00E27260" w:rsidP="00A11D3D">
            <w:pPr>
              <w:jc w:val="both"/>
              <w:rPr>
                <w:sz w:val="20"/>
                <w:szCs w:val="20"/>
              </w:rPr>
            </w:pPr>
            <w:r w:rsidRPr="000A4FFE">
              <w:rPr>
                <w:sz w:val="20"/>
                <w:szCs w:val="20"/>
              </w:rPr>
              <w:lastRenderedPageBreak/>
              <w:t>Axe 1 :</w:t>
            </w:r>
            <w:r w:rsidRPr="000A4FFE">
              <w:rPr>
                <w:sz w:val="20"/>
                <w:szCs w:val="20"/>
                <w:u w:val="single"/>
              </w:rPr>
              <w:t xml:space="preserve"> Favoriser et améliorer l’accès aux aides techniques individuelles :</w:t>
            </w:r>
            <w:r w:rsidRPr="000A4FFE">
              <w:rPr>
                <w:sz w:val="20"/>
                <w:szCs w:val="20"/>
              </w:rPr>
              <w:t xml:space="preserve"> </w:t>
            </w:r>
          </w:p>
        </w:tc>
      </w:tr>
      <w:tr w:rsidR="00E27260" w:rsidRPr="000A4FFE" w:rsidTr="00811F30">
        <w:trPr>
          <w:trHeight w:val="435"/>
        </w:trPr>
        <w:tc>
          <w:tcPr>
            <w:tcW w:w="1986" w:type="dxa"/>
            <w:vMerge w:val="restart"/>
          </w:tcPr>
          <w:p w:rsidR="00E27260" w:rsidRPr="000A4FFE" w:rsidRDefault="00E27260">
            <w:pPr>
              <w:rPr>
                <w:sz w:val="20"/>
                <w:szCs w:val="20"/>
              </w:rPr>
            </w:pPr>
            <w:r w:rsidRPr="000A4FFE">
              <w:rPr>
                <w:sz w:val="20"/>
                <w:szCs w:val="20"/>
              </w:rPr>
              <w:t>Déclinaisons opérationnelles</w:t>
            </w:r>
          </w:p>
        </w:tc>
        <w:tc>
          <w:tcPr>
            <w:tcW w:w="12332" w:type="dxa"/>
          </w:tcPr>
          <w:p w:rsidR="00E27260" w:rsidRPr="000A4FFE" w:rsidRDefault="00E27260" w:rsidP="00B677F8">
            <w:pPr>
              <w:jc w:val="both"/>
              <w:rPr>
                <w:sz w:val="20"/>
                <w:szCs w:val="20"/>
              </w:rPr>
            </w:pPr>
            <w:r w:rsidRPr="000A4FFE">
              <w:rPr>
                <w:sz w:val="20"/>
                <w:szCs w:val="20"/>
              </w:rPr>
              <w:t>Communiquer efficacement sur les aides techniques possibles : action ciblée et pertinente en direction des seniors, aidants et/ou professionnels, recensement et centralisation des informations, création d’un dispositif mobile de présentation,…</w:t>
            </w:r>
          </w:p>
        </w:tc>
      </w:tr>
      <w:tr w:rsidR="00E27260" w:rsidRPr="000A4FFE" w:rsidTr="00F11F99">
        <w:tc>
          <w:tcPr>
            <w:tcW w:w="1986" w:type="dxa"/>
            <w:vMerge/>
          </w:tcPr>
          <w:p w:rsidR="00E27260" w:rsidRPr="000A4FFE" w:rsidRDefault="00E27260">
            <w:pPr>
              <w:rPr>
                <w:sz w:val="20"/>
                <w:szCs w:val="20"/>
              </w:rPr>
            </w:pPr>
          </w:p>
        </w:tc>
        <w:tc>
          <w:tcPr>
            <w:tcW w:w="12332" w:type="dxa"/>
          </w:tcPr>
          <w:p w:rsidR="00E27260" w:rsidRPr="000A4FFE" w:rsidRDefault="00E27260" w:rsidP="00811F30">
            <w:pPr>
              <w:jc w:val="both"/>
              <w:rPr>
                <w:sz w:val="20"/>
                <w:szCs w:val="20"/>
              </w:rPr>
            </w:pPr>
            <w:r w:rsidRPr="000A4FFE">
              <w:rPr>
                <w:sz w:val="20"/>
                <w:szCs w:val="20"/>
              </w:rPr>
              <w:t xml:space="preserve">Développer l’économie circulaire des aides techniques et ainsi faciliter l’accès aux aides techniques individuelles </w:t>
            </w:r>
            <w:r w:rsidR="00811F30" w:rsidRPr="000A4FFE">
              <w:rPr>
                <w:sz w:val="20"/>
                <w:szCs w:val="20"/>
              </w:rPr>
              <w:t>à moindre coû</w:t>
            </w:r>
            <w:r w:rsidRPr="000A4FFE">
              <w:rPr>
                <w:sz w:val="20"/>
                <w:szCs w:val="20"/>
              </w:rPr>
              <w:t>t.</w:t>
            </w:r>
          </w:p>
        </w:tc>
      </w:tr>
      <w:tr w:rsidR="00E27260" w:rsidRPr="000A4FFE" w:rsidTr="00F11F99">
        <w:tc>
          <w:tcPr>
            <w:tcW w:w="1986" w:type="dxa"/>
            <w:vMerge/>
          </w:tcPr>
          <w:p w:rsidR="00E27260" w:rsidRPr="000A4FFE" w:rsidRDefault="00E27260">
            <w:pPr>
              <w:rPr>
                <w:sz w:val="20"/>
                <w:szCs w:val="20"/>
              </w:rPr>
            </w:pPr>
          </w:p>
        </w:tc>
        <w:tc>
          <w:tcPr>
            <w:tcW w:w="12332" w:type="dxa"/>
          </w:tcPr>
          <w:p w:rsidR="00E27260" w:rsidRPr="000A4FFE" w:rsidRDefault="00E27260" w:rsidP="00B677F8">
            <w:pPr>
              <w:jc w:val="both"/>
              <w:rPr>
                <w:sz w:val="20"/>
                <w:szCs w:val="20"/>
              </w:rPr>
            </w:pPr>
            <w:r w:rsidRPr="000A4FFE">
              <w:rPr>
                <w:sz w:val="20"/>
                <w:szCs w:val="20"/>
              </w:rPr>
              <w:t>Développer les innovations techniques permettant de lutter contre l’isolement</w:t>
            </w:r>
          </w:p>
        </w:tc>
      </w:tr>
      <w:tr w:rsidR="00E27260" w:rsidRPr="000A4FFE" w:rsidTr="00F11F99">
        <w:trPr>
          <w:trHeight w:val="286"/>
        </w:trPr>
        <w:tc>
          <w:tcPr>
            <w:tcW w:w="1986" w:type="dxa"/>
            <w:vMerge/>
          </w:tcPr>
          <w:p w:rsidR="00E27260" w:rsidRPr="000A4FFE" w:rsidRDefault="00E27260">
            <w:pPr>
              <w:rPr>
                <w:sz w:val="20"/>
                <w:szCs w:val="20"/>
              </w:rPr>
            </w:pPr>
          </w:p>
        </w:tc>
        <w:tc>
          <w:tcPr>
            <w:tcW w:w="12332" w:type="dxa"/>
          </w:tcPr>
          <w:p w:rsidR="00E27260" w:rsidRPr="000A4FFE" w:rsidRDefault="00E27260" w:rsidP="00E27260">
            <w:pPr>
              <w:jc w:val="both"/>
              <w:rPr>
                <w:sz w:val="20"/>
                <w:szCs w:val="20"/>
              </w:rPr>
            </w:pPr>
            <w:r w:rsidRPr="000A4FFE">
              <w:rPr>
                <w:sz w:val="20"/>
                <w:szCs w:val="20"/>
              </w:rPr>
              <w:t>Accompagner l’installation des aides techniques au domicile</w:t>
            </w:r>
          </w:p>
        </w:tc>
      </w:tr>
      <w:tr w:rsidR="00B677F8" w:rsidRPr="000A4FFE" w:rsidTr="00F11F99">
        <w:tc>
          <w:tcPr>
            <w:tcW w:w="14318" w:type="dxa"/>
            <w:gridSpan w:val="2"/>
            <w:shd w:val="clear" w:color="auto" w:fill="9BBB59" w:themeFill="accent3"/>
          </w:tcPr>
          <w:p w:rsidR="00B677F8" w:rsidRPr="000A4FFE" w:rsidRDefault="00B677F8" w:rsidP="00945252">
            <w:pPr>
              <w:jc w:val="both"/>
              <w:rPr>
                <w:sz w:val="20"/>
                <w:szCs w:val="20"/>
              </w:rPr>
            </w:pPr>
            <w:r w:rsidRPr="000A4FFE">
              <w:rPr>
                <w:sz w:val="20"/>
                <w:szCs w:val="20"/>
              </w:rPr>
              <w:t>Axe 2 :</w:t>
            </w:r>
            <w:r w:rsidRPr="000A4FFE">
              <w:rPr>
                <w:sz w:val="20"/>
                <w:szCs w:val="20"/>
                <w:u w:val="single"/>
              </w:rPr>
              <w:t xml:space="preserve"> Développer la mobilité, et notamment la mobilité adaptée, des séniors désireux de se déplacer quel que soit le besoin : accès aux soins, activités, </w:t>
            </w:r>
            <w:r w:rsidR="00945252" w:rsidRPr="000A4FFE">
              <w:rPr>
                <w:sz w:val="20"/>
                <w:szCs w:val="20"/>
                <w:u w:val="single"/>
              </w:rPr>
              <w:t xml:space="preserve">sportives et </w:t>
            </w:r>
            <w:r w:rsidRPr="000A4FFE">
              <w:rPr>
                <w:sz w:val="20"/>
                <w:szCs w:val="20"/>
                <w:u w:val="single"/>
              </w:rPr>
              <w:t>loisirs</w:t>
            </w:r>
            <w:r w:rsidR="00945252" w:rsidRPr="000A4FFE">
              <w:rPr>
                <w:sz w:val="20"/>
                <w:szCs w:val="20"/>
                <w:u w:val="single"/>
              </w:rPr>
              <w:t>.</w:t>
            </w:r>
          </w:p>
        </w:tc>
      </w:tr>
      <w:tr w:rsidR="00B677F8" w:rsidRPr="000A4FFE" w:rsidTr="00F11F99">
        <w:tc>
          <w:tcPr>
            <w:tcW w:w="1986" w:type="dxa"/>
            <w:vMerge w:val="restart"/>
          </w:tcPr>
          <w:p w:rsidR="00B677F8" w:rsidRPr="000A4FFE" w:rsidRDefault="00B677F8">
            <w:pPr>
              <w:rPr>
                <w:sz w:val="20"/>
                <w:szCs w:val="20"/>
              </w:rPr>
            </w:pPr>
            <w:r w:rsidRPr="000A4FFE">
              <w:rPr>
                <w:sz w:val="20"/>
                <w:szCs w:val="20"/>
              </w:rPr>
              <w:t>Déclinaisons opérationnelles</w:t>
            </w:r>
          </w:p>
        </w:tc>
        <w:tc>
          <w:tcPr>
            <w:tcW w:w="12332" w:type="dxa"/>
          </w:tcPr>
          <w:p w:rsidR="00B677F8" w:rsidRPr="000A4FFE" w:rsidRDefault="00945252" w:rsidP="00945252">
            <w:pPr>
              <w:jc w:val="both"/>
              <w:rPr>
                <w:sz w:val="20"/>
                <w:szCs w:val="20"/>
              </w:rPr>
            </w:pPr>
            <w:r w:rsidRPr="000A4FFE">
              <w:rPr>
                <w:sz w:val="20"/>
                <w:szCs w:val="20"/>
              </w:rPr>
              <w:t>Créer et</w:t>
            </w:r>
            <w:r w:rsidR="00B677F8" w:rsidRPr="000A4FFE">
              <w:rPr>
                <w:sz w:val="20"/>
                <w:szCs w:val="20"/>
              </w:rPr>
              <w:t xml:space="preserve">/ou développer </w:t>
            </w:r>
            <w:r w:rsidRPr="000A4FFE">
              <w:rPr>
                <w:sz w:val="20"/>
                <w:szCs w:val="20"/>
              </w:rPr>
              <w:t>des solutions de transports multimodales sur le territoire</w:t>
            </w:r>
          </w:p>
        </w:tc>
      </w:tr>
      <w:tr w:rsidR="00B677F8" w:rsidRPr="000A4FFE" w:rsidTr="00F11F99">
        <w:tc>
          <w:tcPr>
            <w:tcW w:w="1986" w:type="dxa"/>
            <w:vMerge/>
          </w:tcPr>
          <w:p w:rsidR="00B677F8" w:rsidRPr="000A4FFE" w:rsidRDefault="00B677F8">
            <w:pPr>
              <w:rPr>
                <w:sz w:val="20"/>
                <w:szCs w:val="20"/>
              </w:rPr>
            </w:pPr>
          </w:p>
        </w:tc>
        <w:tc>
          <w:tcPr>
            <w:tcW w:w="12332" w:type="dxa"/>
          </w:tcPr>
          <w:p w:rsidR="00B677F8" w:rsidRPr="000A4FFE" w:rsidRDefault="00B677F8" w:rsidP="00B677F8">
            <w:pPr>
              <w:jc w:val="both"/>
              <w:rPr>
                <w:sz w:val="20"/>
                <w:szCs w:val="20"/>
              </w:rPr>
            </w:pPr>
            <w:r w:rsidRPr="000A4FFE">
              <w:rPr>
                <w:sz w:val="20"/>
                <w:szCs w:val="20"/>
              </w:rPr>
              <w:t>Communiquer sur l’existant et en favoriser son utilisation</w:t>
            </w:r>
          </w:p>
        </w:tc>
      </w:tr>
      <w:tr w:rsidR="00B677F8" w:rsidRPr="000A4FFE" w:rsidTr="00F11F99">
        <w:tc>
          <w:tcPr>
            <w:tcW w:w="1986" w:type="dxa"/>
            <w:vMerge/>
          </w:tcPr>
          <w:p w:rsidR="00B677F8" w:rsidRPr="000A4FFE" w:rsidRDefault="00B677F8">
            <w:pPr>
              <w:rPr>
                <w:sz w:val="20"/>
                <w:szCs w:val="20"/>
              </w:rPr>
            </w:pPr>
          </w:p>
        </w:tc>
        <w:tc>
          <w:tcPr>
            <w:tcW w:w="12332" w:type="dxa"/>
          </w:tcPr>
          <w:p w:rsidR="00B677F8" w:rsidRPr="000A4FFE" w:rsidRDefault="00B677F8" w:rsidP="00B677F8">
            <w:pPr>
              <w:jc w:val="both"/>
              <w:rPr>
                <w:sz w:val="20"/>
                <w:szCs w:val="20"/>
              </w:rPr>
            </w:pPr>
            <w:r w:rsidRPr="000A4FFE">
              <w:rPr>
                <w:sz w:val="20"/>
                <w:szCs w:val="20"/>
              </w:rPr>
              <w:t xml:space="preserve">Coordonner </w:t>
            </w:r>
            <w:r w:rsidR="00811F30" w:rsidRPr="000A4FFE">
              <w:rPr>
                <w:sz w:val="20"/>
                <w:szCs w:val="20"/>
              </w:rPr>
              <w:t>et/</w:t>
            </w:r>
            <w:r w:rsidRPr="000A4FFE">
              <w:rPr>
                <w:sz w:val="20"/>
                <w:szCs w:val="20"/>
              </w:rPr>
              <w:t>ou mutualiser les dispositifs existants</w:t>
            </w:r>
          </w:p>
        </w:tc>
      </w:tr>
      <w:tr w:rsidR="00B677F8" w:rsidRPr="000A4FFE" w:rsidTr="00F11F99">
        <w:tc>
          <w:tcPr>
            <w:tcW w:w="14318" w:type="dxa"/>
            <w:gridSpan w:val="2"/>
            <w:shd w:val="clear" w:color="auto" w:fill="9BBB59" w:themeFill="accent3"/>
          </w:tcPr>
          <w:p w:rsidR="00B677F8" w:rsidRPr="000A4FFE" w:rsidRDefault="00B677F8" w:rsidP="00B677F8">
            <w:pPr>
              <w:jc w:val="both"/>
              <w:rPr>
                <w:sz w:val="20"/>
                <w:szCs w:val="20"/>
              </w:rPr>
            </w:pPr>
            <w:r w:rsidRPr="000A4FFE">
              <w:rPr>
                <w:sz w:val="20"/>
                <w:szCs w:val="20"/>
              </w:rPr>
              <w:t>Axe 3 :</w:t>
            </w:r>
            <w:r w:rsidRPr="000A4FFE">
              <w:rPr>
                <w:sz w:val="20"/>
                <w:szCs w:val="20"/>
                <w:u w:val="single"/>
              </w:rPr>
              <w:t xml:space="preserve"> Lutter contre l’isolement et favoriser le maintien du lien social et intergénérationnel </w:t>
            </w:r>
          </w:p>
        </w:tc>
      </w:tr>
      <w:tr w:rsidR="00B677F8" w:rsidRPr="000A4FFE" w:rsidTr="00FD08EC">
        <w:trPr>
          <w:trHeight w:val="253"/>
        </w:trPr>
        <w:tc>
          <w:tcPr>
            <w:tcW w:w="1986" w:type="dxa"/>
            <w:vMerge w:val="restart"/>
          </w:tcPr>
          <w:p w:rsidR="00B677F8" w:rsidRPr="000A4FFE" w:rsidRDefault="00B677F8">
            <w:pPr>
              <w:rPr>
                <w:sz w:val="20"/>
                <w:szCs w:val="20"/>
              </w:rPr>
            </w:pPr>
            <w:r w:rsidRPr="000A4FFE">
              <w:rPr>
                <w:sz w:val="20"/>
                <w:szCs w:val="20"/>
              </w:rPr>
              <w:t>Déclinaisons opérationnelles</w:t>
            </w:r>
          </w:p>
        </w:tc>
        <w:tc>
          <w:tcPr>
            <w:tcW w:w="12332" w:type="dxa"/>
          </w:tcPr>
          <w:p w:rsidR="00B677F8" w:rsidRPr="000A4FFE" w:rsidRDefault="00B677F8" w:rsidP="00FD08EC">
            <w:pPr>
              <w:jc w:val="both"/>
              <w:rPr>
                <w:sz w:val="20"/>
                <w:szCs w:val="20"/>
              </w:rPr>
            </w:pPr>
            <w:r w:rsidRPr="000A4FFE">
              <w:rPr>
                <w:sz w:val="20"/>
                <w:szCs w:val="20"/>
              </w:rPr>
              <w:t>Prévenir les risques d’isolement, de rupture et de fragilité et maintenir le lien social et familial</w:t>
            </w:r>
          </w:p>
        </w:tc>
      </w:tr>
      <w:tr w:rsidR="00945252" w:rsidRPr="000A4FFE" w:rsidTr="00945252">
        <w:trPr>
          <w:trHeight w:val="257"/>
        </w:trPr>
        <w:tc>
          <w:tcPr>
            <w:tcW w:w="1986" w:type="dxa"/>
            <w:vMerge/>
          </w:tcPr>
          <w:p w:rsidR="00945252" w:rsidRPr="000A4FFE" w:rsidRDefault="00945252">
            <w:pPr>
              <w:rPr>
                <w:sz w:val="20"/>
                <w:szCs w:val="20"/>
              </w:rPr>
            </w:pPr>
          </w:p>
        </w:tc>
        <w:tc>
          <w:tcPr>
            <w:tcW w:w="12332" w:type="dxa"/>
          </w:tcPr>
          <w:p w:rsidR="00945252" w:rsidRPr="000A4FFE" w:rsidRDefault="00945252" w:rsidP="00B677F8">
            <w:pPr>
              <w:jc w:val="both"/>
              <w:rPr>
                <w:sz w:val="20"/>
                <w:szCs w:val="20"/>
              </w:rPr>
            </w:pPr>
            <w:r w:rsidRPr="000A4FFE">
              <w:rPr>
                <w:sz w:val="20"/>
                <w:szCs w:val="20"/>
              </w:rPr>
              <w:t>Développer les actions « aller vers » tout en favorisant la mobilité des seniors</w:t>
            </w:r>
          </w:p>
        </w:tc>
      </w:tr>
      <w:tr w:rsidR="00B677F8" w:rsidRPr="000A4FFE" w:rsidTr="00F11F99">
        <w:tc>
          <w:tcPr>
            <w:tcW w:w="1986" w:type="dxa"/>
            <w:vMerge/>
          </w:tcPr>
          <w:p w:rsidR="00B677F8" w:rsidRPr="000A4FFE" w:rsidRDefault="00B677F8">
            <w:pPr>
              <w:rPr>
                <w:sz w:val="20"/>
                <w:szCs w:val="20"/>
              </w:rPr>
            </w:pPr>
          </w:p>
        </w:tc>
        <w:tc>
          <w:tcPr>
            <w:tcW w:w="12332" w:type="dxa"/>
          </w:tcPr>
          <w:p w:rsidR="00B677F8" w:rsidRPr="000A4FFE" w:rsidRDefault="00B677F8" w:rsidP="00B677F8">
            <w:pPr>
              <w:jc w:val="both"/>
              <w:rPr>
                <w:sz w:val="20"/>
                <w:szCs w:val="20"/>
              </w:rPr>
            </w:pPr>
            <w:r w:rsidRPr="000A4FFE">
              <w:rPr>
                <w:sz w:val="20"/>
                <w:szCs w:val="20"/>
              </w:rPr>
              <w:t>Créer du lien</w:t>
            </w:r>
          </w:p>
        </w:tc>
      </w:tr>
      <w:tr w:rsidR="00B677F8" w:rsidRPr="000A4FFE" w:rsidTr="00F11F99">
        <w:tc>
          <w:tcPr>
            <w:tcW w:w="1986" w:type="dxa"/>
            <w:vMerge/>
          </w:tcPr>
          <w:p w:rsidR="00B677F8" w:rsidRPr="000A4FFE" w:rsidRDefault="00B677F8">
            <w:pPr>
              <w:rPr>
                <w:sz w:val="20"/>
                <w:szCs w:val="20"/>
              </w:rPr>
            </w:pPr>
          </w:p>
        </w:tc>
        <w:tc>
          <w:tcPr>
            <w:tcW w:w="12332" w:type="dxa"/>
          </w:tcPr>
          <w:p w:rsidR="00B677F8" w:rsidRPr="000A4FFE" w:rsidRDefault="00B677F8" w:rsidP="00B677F8">
            <w:pPr>
              <w:jc w:val="both"/>
              <w:rPr>
                <w:sz w:val="20"/>
                <w:szCs w:val="20"/>
              </w:rPr>
            </w:pPr>
            <w:r w:rsidRPr="000A4FFE">
              <w:rPr>
                <w:sz w:val="20"/>
                <w:szCs w:val="20"/>
              </w:rPr>
              <w:t>Développer les actions intergénérationnelles favorisant les rencontres et la mixité des générations, tout en valorisant les compétences des retraités</w:t>
            </w:r>
          </w:p>
        </w:tc>
      </w:tr>
      <w:tr w:rsidR="00B677F8" w:rsidRPr="000A4FFE" w:rsidTr="00F11F99">
        <w:tc>
          <w:tcPr>
            <w:tcW w:w="1986" w:type="dxa"/>
            <w:vMerge/>
          </w:tcPr>
          <w:p w:rsidR="00B677F8" w:rsidRPr="000A4FFE" w:rsidRDefault="00B677F8">
            <w:pPr>
              <w:rPr>
                <w:sz w:val="20"/>
                <w:szCs w:val="20"/>
              </w:rPr>
            </w:pPr>
          </w:p>
        </w:tc>
        <w:tc>
          <w:tcPr>
            <w:tcW w:w="12332" w:type="dxa"/>
          </w:tcPr>
          <w:p w:rsidR="00B677F8" w:rsidRPr="000A4FFE" w:rsidRDefault="00B677F8" w:rsidP="00B677F8">
            <w:pPr>
              <w:jc w:val="both"/>
              <w:rPr>
                <w:sz w:val="20"/>
                <w:szCs w:val="20"/>
              </w:rPr>
            </w:pPr>
            <w:r w:rsidRPr="000A4FFE">
              <w:rPr>
                <w:sz w:val="20"/>
                <w:szCs w:val="20"/>
              </w:rPr>
              <w:t>Favoriser et promouvoir l’estime de soi pour prévenir la souffrance psychologique</w:t>
            </w:r>
          </w:p>
        </w:tc>
      </w:tr>
      <w:tr w:rsidR="00B677F8" w:rsidRPr="000A4FFE" w:rsidTr="00F11F99">
        <w:tc>
          <w:tcPr>
            <w:tcW w:w="14318" w:type="dxa"/>
            <w:gridSpan w:val="2"/>
            <w:shd w:val="clear" w:color="auto" w:fill="9BBB59" w:themeFill="accent3"/>
          </w:tcPr>
          <w:p w:rsidR="00B677F8" w:rsidRPr="000A4FFE" w:rsidRDefault="00FD08EC" w:rsidP="00B677F8">
            <w:pPr>
              <w:jc w:val="both"/>
              <w:rPr>
                <w:sz w:val="20"/>
                <w:szCs w:val="20"/>
              </w:rPr>
            </w:pPr>
            <w:r w:rsidRPr="000A4FFE">
              <w:rPr>
                <w:sz w:val="20"/>
                <w:szCs w:val="20"/>
                <w:u w:val="single"/>
              </w:rPr>
              <w:t>Mettre en œuvre sur le territoire ardennais, le « vieillir en bonne santé »</w:t>
            </w:r>
            <w:r w:rsidRPr="000A4FFE">
              <w:rPr>
                <w:sz w:val="20"/>
                <w:szCs w:val="20"/>
              </w:rPr>
              <w:t> :</w:t>
            </w:r>
          </w:p>
        </w:tc>
      </w:tr>
      <w:tr w:rsidR="00811F30" w:rsidRPr="000A4FFE" w:rsidTr="00811F30">
        <w:trPr>
          <w:trHeight w:val="213"/>
        </w:trPr>
        <w:tc>
          <w:tcPr>
            <w:tcW w:w="1986" w:type="dxa"/>
            <w:vMerge w:val="restart"/>
            <w:shd w:val="clear" w:color="auto" w:fill="FFFFFF" w:themeFill="background1"/>
          </w:tcPr>
          <w:p w:rsidR="00811F30" w:rsidRPr="000A4FFE" w:rsidRDefault="00811F30" w:rsidP="00C92243">
            <w:pPr>
              <w:rPr>
                <w:sz w:val="20"/>
                <w:szCs w:val="20"/>
              </w:rPr>
            </w:pPr>
            <w:r w:rsidRPr="000A4FFE">
              <w:rPr>
                <w:sz w:val="20"/>
                <w:szCs w:val="20"/>
              </w:rPr>
              <w:t>Déclinaisons opérationnelles</w:t>
            </w:r>
          </w:p>
        </w:tc>
        <w:tc>
          <w:tcPr>
            <w:tcW w:w="12332" w:type="dxa"/>
            <w:shd w:val="clear" w:color="auto" w:fill="FFFFFF" w:themeFill="background1"/>
          </w:tcPr>
          <w:p w:rsidR="00811F30" w:rsidRPr="000A4FFE" w:rsidRDefault="00811F30" w:rsidP="00B677F8">
            <w:pPr>
              <w:jc w:val="both"/>
              <w:rPr>
                <w:sz w:val="20"/>
                <w:szCs w:val="20"/>
              </w:rPr>
            </w:pPr>
            <w:r w:rsidRPr="000A4FFE">
              <w:rPr>
                <w:sz w:val="20"/>
                <w:szCs w:val="20"/>
              </w:rPr>
              <w:t>Sécuriser le passage à la retraite et accompagner dans le changement</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B677F8" w:rsidP="00B677F8">
            <w:pPr>
              <w:jc w:val="both"/>
              <w:rPr>
                <w:sz w:val="20"/>
                <w:szCs w:val="20"/>
              </w:rPr>
            </w:pPr>
            <w:r w:rsidRPr="000A4FFE">
              <w:rPr>
                <w:sz w:val="20"/>
                <w:szCs w:val="20"/>
              </w:rPr>
              <w:t>Informer sur l’accès aux soins et aux droits et développer le dépistage</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B677F8" w:rsidP="00B677F8">
            <w:pPr>
              <w:jc w:val="both"/>
              <w:rPr>
                <w:sz w:val="20"/>
                <w:szCs w:val="20"/>
              </w:rPr>
            </w:pPr>
            <w:r w:rsidRPr="000A4FFE">
              <w:rPr>
                <w:sz w:val="20"/>
                <w:szCs w:val="20"/>
              </w:rPr>
              <w:t xml:space="preserve">Accompagner </w:t>
            </w:r>
            <w:r w:rsidR="001425FB" w:rsidRPr="000A4FFE">
              <w:rPr>
                <w:sz w:val="20"/>
                <w:szCs w:val="20"/>
              </w:rPr>
              <w:t>les se</w:t>
            </w:r>
            <w:r w:rsidRPr="000A4FFE">
              <w:rPr>
                <w:sz w:val="20"/>
                <w:szCs w:val="20"/>
              </w:rPr>
              <w:t>niors vers la transition numérique</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FD08EC" w:rsidP="00FD08EC">
            <w:pPr>
              <w:jc w:val="both"/>
              <w:rPr>
                <w:sz w:val="20"/>
                <w:szCs w:val="20"/>
              </w:rPr>
            </w:pPr>
            <w:r w:rsidRPr="000A4FFE">
              <w:rPr>
                <w:sz w:val="20"/>
                <w:szCs w:val="20"/>
              </w:rPr>
              <w:t>Garantir une bonne santé physique, mentale et sociale des seniors par le biais d’actions thématiques de prévention/promotion de la santé</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FD08EC" w:rsidP="00B677F8">
            <w:pPr>
              <w:jc w:val="both"/>
              <w:rPr>
                <w:sz w:val="20"/>
                <w:szCs w:val="20"/>
              </w:rPr>
            </w:pPr>
            <w:r w:rsidRPr="000A4FFE">
              <w:rPr>
                <w:sz w:val="20"/>
                <w:szCs w:val="20"/>
              </w:rPr>
              <w:t xml:space="preserve">Prévenir la perte d’autonomie </w:t>
            </w:r>
            <w:r w:rsidR="00945252" w:rsidRPr="000A4FFE">
              <w:rPr>
                <w:sz w:val="20"/>
                <w:szCs w:val="20"/>
              </w:rPr>
              <w:t xml:space="preserve">en lien avec l’aménagement </w:t>
            </w:r>
            <w:r w:rsidRPr="000A4FFE">
              <w:rPr>
                <w:sz w:val="20"/>
                <w:szCs w:val="20"/>
              </w:rPr>
              <w:t>l’habitat : développer les actions relatives à l’adaptation du logement par le biais d’information et soutien</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B677F8" w:rsidP="00B677F8">
            <w:pPr>
              <w:jc w:val="both"/>
              <w:rPr>
                <w:sz w:val="20"/>
                <w:szCs w:val="20"/>
              </w:rPr>
            </w:pPr>
            <w:r w:rsidRPr="000A4FFE">
              <w:rPr>
                <w:sz w:val="20"/>
                <w:szCs w:val="20"/>
              </w:rPr>
              <w:t>Maintenir un lien intergénérationnel équilibré notamment par le développement des compétences psychosociales</w:t>
            </w:r>
          </w:p>
        </w:tc>
      </w:tr>
      <w:tr w:rsidR="00B677F8" w:rsidRPr="000A4FFE" w:rsidTr="00F11F99">
        <w:tc>
          <w:tcPr>
            <w:tcW w:w="14318" w:type="dxa"/>
            <w:gridSpan w:val="2"/>
            <w:shd w:val="clear" w:color="auto" w:fill="9BBB59" w:themeFill="accent3"/>
          </w:tcPr>
          <w:p w:rsidR="00B677F8" w:rsidRPr="000A4FFE" w:rsidRDefault="00B677F8" w:rsidP="00B677F8">
            <w:pPr>
              <w:jc w:val="both"/>
              <w:rPr>
                <w:sz w:val="20"/>
                <w:szCs w:val="20"/>
              </w:rPr>
            </w:pPr>
            <w:r w:rsidRPr="000A4FFE">
              <w:rPr>
                <w:sz w:val="20"/>
                <w:szCs w:val="20"/>
                <w:u w:val="single"/>
              </w:rPr>
              <w:t>Axe 5 : Soutenir les actions de prévention santé pour les proches aidants</w:t>
            </w:r>
          </w:p>
        </w:tc>
      </w:tr>
      <w:tr w:rsidR="00B677F8" w:rsidRPr="000A4FFE" w:rsidTr="00F11F99">
        <w:tc>
          <w:tcPr>
            <w:tcW w:w="1986" w:type="dxa"/>
            <w:vMerge w:val="restart"/>
            <w:shd w:val="clear" w:color="auto" w:fill="FFFFFF" w:themeFill="background1"/>
          </w:tcPr>
          <w:p w:rsidR="00B677F8" w:rsidRPr="000A4FFE" w:rsidRDefault="00B677F8" w:rsidP="00C92243">
            <w:pPr>
              <w:rPr>
                <w:sz w:val="20"/>
                <w:szCs w:val="20"/>
              </w:rPr>
            </w:pPr>
            <w:r w:rsidRPr="000A4FFE">
              <w:rPr>
                <w:sz w:val="20"/>
                <w:szCs w:val="20"/>
              </w:rPr>
              <w:t>Déclinaisons opérationnelles</w:t>
            </w:r>
          </w:p>
        </w:tc>
        <w:tc>
          <w:tcPr>
            <w:tcW w:w="12332" w:type="dxa"/>
            <w:shd w:val="clear" w:color="auto" w:fill="FFFFFF" w:themeFill="background1"/>
          </w:tcPr>
          <w:p w:rsidR="00B677F8" w:rsidRPr="000A4FFE" w:rsidRDefault="00FD08EC" w:rsidP="00B677F8">
            <w:pPr>
              <w:jc w:val="both"/>
              <w:rPr>
                <w:sz w:val="20"/>
                <w:szCs w:val="20"/>
              </w:rPr>
            </w:pPr>
            <w:r w:rsidRPr="000A4FFE">
              <w:rPr>
                <w:sz w:val="20"/>
                <w:szCs w:val="20"/>
              </w:rPr>
              <w:t>Repérer plus efficacement les proches aidants, et notamment les aidants silencieux, et ceux susceptibles de développer des troubles liés à la charge ressentie / à son statut d’aidant (fatigue, isolement,…)</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B677F8" w:rsidP="00B677F8">
            <w:pPr>
              <w:jc w:val="both"/>
              <w:rPr>
                <w:sz w:val="20"/>
                <w:szCs w:val="20"/>
              </w:rPr>
            </w:pPr>
            <w:r w:rsidRPr="000A4FFE">
              <w:rPr>
                <w:sz w:val="20"/>
                <w:szCs w:val="20"/>
              </w:rPr>
              <w:t>Favoriser les actions d’information et de formation à la prévention santé</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B677F8" w:rsidP="00B677F8">
            <w:pPr>
              <w:jc w:val="both"/>
              <w:rPr>
                <w:sz w:val="20"/>
                <w:szCs w:val="20"/>
              </w:rPr>
            </w:pPr>
            <w:r w:rsidRPr="000A4FFE">
              <w:rPr>
                <w:sz w:val="20"/>
                <w:szCs w:val="20"/>
              </w:rPr>
              <w:t>Renforcer l’information sur l’offre existante (morale et technique)</w:t>
            </w:r>
          </w:p>
        </w:tc>
      </w:tr>
      <w:tr w:rsidR="00B677F8" w:rsidRPr="000A4FFE" w:rsidTr="00F11F99">
        <w:tc>
          <w:tcPr>
            <w:tcW w:w="1986" w:type="dxa"/>
            <w:vMerge/>
            <w:shd w:val="clear" w:color="auto" w:fill="FFFFFF" w:themeFill="background1"/>
          </w:tcPr>
          <w:p w:rsidR="00B677F8" w:rsidRPr="000A4FFE" w:rsidRDefault="00B677F8" w:rsidP="00C92243">
            <w:pPr>
              <w:rPr>
                <w:sz w:val="20"/>
                <w:szCs w:val="20"/>
              </w:rPr>
            </w:pPr>
          </w:p>
        </w:tc>
        <w:tc>
          <w:tcPr>
            <w:tcW w:w="12332" w:type="dxa"/>
            <w:shd w:val="clear" w:color="auto" w:fill="FFFFFF" w:themeFill="background1"/>
          </w:tcPr>
          <w:p w:rsidR="00B677F8" w:rsidRPr="000A4FFE" w:rsidRDefault="00B677F8" w:rsidP="00B677F8">
            <w:pPr>
              <w:jc w:val="both"/>
              <w:rPr>
                <w:sz w:val="20"/>
                <w:szCs w:val="20"/>
              </w:rPr>
            </w:pPr>
            <w:r w:rsidRPr="000A4FFE">
              <w:rPr>
                <w:sz w:val="20"/>
                <w:szCs w:val="20"/>
              </w:rPr>
              <w:t>Proposer des actions de santé collective.</w:t>
            </w:r>
          </w:p>
        </w:tc>
      </w:tr>
    </w:tbl>
    <w:p w:rsidR="00FD08EC" w:rsidRDefault="00FD08EC" w:rsidP="00FD08EC">
      <w:pPr>
        <w:jc w:val="both"/>
        <w:rPr>
          <w:b/>
          <w:i/>
          <w:sz w:val="28"/>
        </w:rPr>
      </w:pPr>
    </w:p>
    <w:p w:rsidR="000A4FFE" w:rsidRDefault="000A4FFE" w:rsidP="00FD08EC">
      <w:pPr>
        <w:jc w:val="both"/>
        <w:rPr>
          <w:b/>
          <w:i/>
          <w:sz w:val="28"/>
        </w:rPr>
      </w:pPr>
    </w:p>
    <w:p w:rsidR="000A4FFE" w:rsidRDefault="000A4FFE" w:rsidP="00FD08EC">
      <w:pPr>
        <w:jc w:val="both"/>
        <w:rPr>
          <w:b/>
          <w:i/>
          <w:sz w:val="28"/>
        </w:rPr>
      </w:pPr>
    </w:p>
    <w:p w:rsidR="00FD08EC" w:rsidRPr="000A4FFE" w:rsidRDefault="00FD08EC" w:rsidP="00FD08EC">
      <w:pPr>
        <w:jc w:val="both"/>
      </w:pPr>
      <w:r w:rsidRPr="000A4FFE">
        <w:lastRenderedPageBreak/>
        <w:t>La variété de l’offre existante ne permet pas toujours de répondre à la diversité des publics et des profils. Une attention particulière sera donc portée sur :</w:t>
      </w:r>
    </w:p>
    <w:p w:rsidR="00FD08EC" w:rsidRPr="000A4FFE" w:rsidRDefault="00FD08EC" w:rsidP="00FD08EC">
      <w:pPr>
        <w:pStyle w:val="Paragraphedeliste"/>
        <w:numPr>
          <w:ilvl w:val="0"/>
          <w:numId w:val="7"/>
        </w:numPr>
        <w:jc w:val="both"/>
      </w:pPr>
      <w:r w:rsidRPr="000A4FFE">
        <w:t>La prise en compte du déplacement et de la mobilité des seniors dans chaque action</w:t>
      </w:r>
    </w:p>
    <w:p w:rsidR="00FD08EC" w:rsidRPr="000A4FFE" w:rsidRDefault="00FD08EC" w:rsidP="00FD08EC">
      <w:pPr>
        <w:pStyle w:val="Paragraphedeliste"/>
        <w:numPr>
          <w:ilvl w:val="0"/>
          <w:numId w:val="7"/>
        </w:numPr>
        <w:jc w:val="both"/>
      </w:pPr>
      <w:r w:rsidRPr="000A4FFE">
        <w:t xml:space="preserve">Le caractère innovant </w:t>
      </w:r>
      <w:r w:rsidR="00A464ED" w:rsidRPr="000A4FFE">
        <w:t>des actions proposées</w:t>
      </w:r>
    </w:p>
    <w:p w:rsidR="00FD08EC" w:rsidRPr="000A4FFE" w:rsidRDefault="00FD08EC" w:rsidP="00FD08EC">
      <w:pPr>
        <w:pStyle w:val="Paragraphedeliste"/>
        <w:numPr>
          <w:ilvl w:val="0"/>
          <w:numId w:val="7"/>
        </w:numPr>
        <w:jc w:val="both"/>
      </w:pPr>
      <w:r w:rsidRPr="000A4FFE">
        <w:t xml:space="preserve">Les actions à destination de nouveaux publics (populations migrantes, hommes...) </w:t>
      </w:r>
    </w:p>
    <w:p w:rsidR="00FD08EC" w:rsidRPr="000A4FFE" w:rsidRDefault="00FD08EC" w:rsidP="00FD08EC">
      <w:pPr>
        <w:pStyle w:val="Paragraphedeliste"/>
        <w:numPr>
          <w:ilvl w:val="0"/>
          <w:numId w:val="7"/>
        </w:numPr>
        <w:jc w:val="both"/>
      </w:pPr>
      <w:r w:rsidRPr="000A4FFE">
        <w:t>Les actions à destination de territoires fragiles au regard du diagnostic à savoir l’Argonne, le Porcien et la Thiérache</w:t>
      </w:r>
    </w:p>
    <w:p w:rsidR="00FD08EC" w:rsidRDefault="00FD08EC" w:rsidP="00FD08EC">
      <w:pPr>
        <w:pStyle w:val="Paragraphedeliste"/>
        <w:numPr>
          <w:ilvl w:val="0"/>
          <w:numId w:val="7"/>
        </w:numPr>
        <w:jc w:val="both"/>
      </w:pPr>
      <w:r w:rsidRPr="000A4FFE">
        <w:t>Les nouvelles thématiques d’actions (sexualité, maltraitance, mésusage du médicament, addictions</w:t>
      </w:r>
      <w:r w:rsidR="00A11D3D">
        <w:t>, déficit sensoriel</w:t>
      </w:r>
      <w:r w:rsidRPr="000A4FFE">
        <w:t>…)</w:t>
      </w:r>
    </w:p>
    <w:p w:rsidR="00901038" w:rsidRDefault="00901038" w:rsidP="00FD08EC">
      <w:pPr>
        <w:pStyle w:val="Paragraphedeliste"/>
        <w:numPr>
          <w:ilvl w:val="0"/>
          <w:numId w:val="7"/>
        </w:numPr>
        <w:jc w:val="both"/>
      </w:pPr>
      <w:r>
        <w:t>Les projets visant à proposer des solutions de recyclage pour les aides techniques individuelles</w:t>
      </w:r>
    </w:p>
    <w:p w:rsidR="00901038" w:rsidRPr="000A4FFE" w:rsidRDefault="00901038" w:rsidP="00FD08EC">
      <w:pPr>
        <w:pStyle w:val="Paragraphedeliste"/>
        <w:numPr>
          <w:ilvl w:val="0"/>
          <w:numId w:val="7"/>
        </w:numPr>
        <w:jc w:val="both"/>
      </w:pPr>
      <w:r>
        <w:t>Les projets visant à présenter et promouvoir les aides techniques individuelles</w:t>
      </w:r>
    </w:p>
    <w:p w:rsidR="00E27260" w:rsidRDefault="00E27260" w:rsidP="00811F30"/>
    <w:sectPr w:rsidR="00E27260" w:rsidSect="00B677F8">
      <w:footerReference w:type="default" r:id="rId8"/>
      <w:pgSz w:w="16838" w:h="11906" w:orient="landscape"/>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52" w:rsidRDefault="00945252" w:rsidP="00E27260">
      <w:pPr>
        <w:spacing w:after="0" w:line="240" w:lineRule="auto"/>
      </w:pPr>
      <w:r>
        <w:separator/>
      </w:r>
    </w:p>
  </w:endnote>
  <w:endnote w:type="continuationSeparator" w:id="0">
    <w:p w:rsidR="00945252" w:rsidRDefault="00945252" w:rsidP="00E27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1794"/>
      <w:docPartObj>
        <w:docPartGallery w:val="Page Numbers (Bottom of Page)"/>
        <w:docPartUnique/>
      </w:docPartObj>
    </w:sdtPr>
    <w:sdtContent>
      <w:p w:rsidR="000A4FFE" w:rsidRDefault="008D2C63">
        <w:pPr>
          <w:pStyle w:val="Pieddepage"/>
          <w:jc w:val="right"/>
        </w:pPr>
        <w:fldSimple w:instr=" PAGE   \* MERGEFORMAT ">
          <w:r w:rsidR="00901038">
            <w:rPr>
              <w:noProof/>
            </w:rPr>
            <w:t>3</w:t>
          </w:r>
        </w:fldSimple>
      </w:p>
    </w:sdtContent>
  </w:sdt>
  <w:p w:rsidR="000A4FFE" w:rsidRDefault="000A4F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52" w:rsidRDefault="00945252" w:rsidP="00E27260">
      <w:pPr>
        <w:spacing w:after="0" w:line="240" w:lineRule="auto"/>
      </w:pPr>
      <w:r>
        <w:separator/>
      </w:r>
    </w:p>
  </w:footnote>
  <w:footnote w:type="continuationSeparator" w:id="0">
    <w:p w:rsidR="00945252" w:rsidRDefault="00945252" w:rsidP="00E27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0F2"/>
    <w:multiLevelType w:val="hybridMultilevel"/>
    <w:tmpl w:val="8676BD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AAE2B83"/>
    <w:multiLevelType w:val="hybridMultilevel"/>
    <w:tmpl w:val="DC52B1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CB44DE2"/>
    <w:multiLevelType w:val="hybridMultilevel"/>
    <w:tmpl w:val="7C3EFAA6"/>
    <w:lvl w:ilvl="0" w:tplc="EFEA6F26">
      <w:numFmt w:val="bullet"/>
      <w:lvlText w:val="-"/>
      <w:lvlJc w:val="left"/>
      <w:pPr>
        <w:ind w:left="396" w:hanging="360"/>
      </w:pPr>
      <w:rPr>
        <w:rFonts w:ascii="Calibri" w:eastAsiaTheme="minorHAnsi" w:hAnsi="Calibri" w:cstheme="minorBidi"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
    <w:nsid w:val="1DBE2F3E"/>
    <w:multiLevelType w:val="hybridMultilevel"/>
    <w:tmpl w:val="4AF034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9D62345"/>
    <w:multiLevelType w:val="hybridMultilevel"/>
    <w:tmpl w:val="BF2C8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3553D7"/>
    <w:multiLevelType w:val="hybridMultilevel"/>
    <w:tmpl w:val="44A00F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5093DC4"/>
    <w:multiLevelType w:val="hybridMultilevel"/>
    <w:tmpl w:val="9FA61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C7118B"/>
    <w:multiLevelType w:val="hybridMultilevel"/>
    <w:tmpl w:val="7428B9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D886804"/>
    <w:multiLevelType w:val="hybridMultilevel"/>
    <w:tmpl w:val="D0AA9C2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7260"/>
    <w:rsid w:val="000A4FFE"/>
    <w:rsid w:val="0010365C"/>
    <w:rsid w:val="001425FB"/>
    <w:rsid w:val="00222D9D"/>
    <w:rsid w:val="00312113"/>
    <w:rsid w:val="003B0148"/>
    <w:rsid w:val="00602847"/>
    <w:rsid w:val="00615CF7"/>
    <w:rsid w:val="006B4611"/>
    <w:rsid w:val="00724F8C"/>
    <w:rsid w:val="00811F30"/>
    <w:rsid w:val="00841E0B"/>
    <w:rsid w:val="008D2C63"/>
    <w:rsid w:val="008F5EBE"/>
    <w:rsid w:val="00901038"/>
    <w:rsid w:val="009076C7"/>
    <w:rsid w:val="00945252"/>
    <w:rsid w:val="009A27D6"/>
    <w:rsid w:val="009E17FD"/>
    <w:rsid w:val="00A11D3D"/>
    <w:rsid w:val="00A22027"/>
    <w:rsid w:val="00A464ED"/>
    <w:rsid w:val="00AF6DE3"/>
    <w:rsid w:val="00B3738F"/>
    <w:rsid w:val="00B54E32"/>
    <w:rsid w:val="00B65ADC"/>
    <w:rsid w:val="00B677F8"/>
    <w:rsid w:val="00C4382A"/>
    <w:rsid w:val="00C92243"/>
    <w:rsid w:val="00D323D5"/>
    <w:rsid w:val="00D9542A"/>
    <w:rsid w:val="00DD5C0E"/>
    <w:rsid w:val="00E27260"/>
    <w:rsid w:val="00E46AAF"/>
    <w:rsid w:val="00E637AE"/>
    <w:rsid w:val="00EF474C"/>
    <w:rsid w:val="00F11F99"/>
    <w:rsid w:val="00FD08EC"/>
    <w:rsid w:val="00FD39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27260"/>
    <w:pPr>
      <w:ind w:left="720"/>
      <w:contextualSpacing/>
    </w:pPr>
  </w:style>
  <w:style w:type="paragraph" w:styleId="Notedebasdepage">
    <w:name w:val="footnote text"/>
    <w:basedOn w:val="Normal"/>
    <w:link w:val="NotedebasdepageCar"/>
    <w:uiPriority w:val="99"/>
    <w:semiHidden/>
    <w:unhideWhenUsed/>
    <w:rsid w:val="00E27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7260"/>
    <w:rPr>
      <w:sz w:val="20"/>
      <w:szCs w:val="20"/>
    </w:rPr>
  </w:style>
  <w:style w:type="character" w:styleId="Appelnotedebasdep">
    <w:name w:val="footnote reference"/>
    <w:basedOn w:val="Policepardfaut"/>
    <w:uiPriority w:val="99"/>
    <w:semiHidden/>
    <w:unhideWhenUsed/>
    <w:rsid w:val="00E27260"/>
    <w:rPr>
      <w:vertAlign w:val="superscript"/>
    </w:rPr>
  </w:style>
  <w:style w:type="paragraph" w:styleId="En-tte">
    <w:name w:val="header"/>
    <w:basedOn w:val="Normal"/>
    <w:link w:val="En-tteCar"/>
    <w:uiPriority w:val="99"/>
    <w:semiHidden/>
    <w:unhideWhenUsed/>
    <w:rsid w:val="000A4F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A4FFE"/>
  </w:style>
  <w:style w:type="paragraph" w:styleId="Pieddepage">
    <w:name w:val="footer"/>
    <w:basedOn w:val="Normal"/>
    <w:link w:val="PieddepageCar"/>
    <w:uiPriority w:val="99"/>
    <w:unhideWhenUsed/>
    <w:rsid w:val="000A4F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FFE"/>
  </w:style>
</w:styles>
</file>

<file path=word/webSettings.xml><?xml version="1.0" encoding="utf-8"?>
<w:webSettings xmlns:r="http://schemas.openxmlformats.org/officeDocument/2006/relationships" xmlns:w="http://schemas.openxmlformats.org/wordprocessingml/2006/main">
  <w:divs>
    <w:div w:id="16138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A8560-F066-40A5-BDEC-8CDCEB96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874</Words>
  <Characters>4812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CG08</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auribaucour</cp:lastModifiedBy>
  <cp:revision>3</cp:revision>
  <cp:lastPrinted>2017-07-04T13:58:00Z</cp:lastPrinted>
  <dcterms:created xsi:type="dcterms:W3CDTF">2018-03-27T08:25:00Z</dcterms:created>
  <dcterms:modified xsi:type="dcterms:W3CDTF">2018-03-27T08:41:00Z</dcterms:modified>
</cp:coreProperties>
</file>